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Пояснительная записка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</w:t>
      </w:r>
      <w:r>
        <w:rPr>
          <w:b/>
          <w:sz w:val="28"/>
          <w:szCs w:val="28"/>
        </w:rPr>
        <w:t xml:space="preserve">постановления</w:t>
      </w:r>
      <w:r>
        <w:rPr>
          <w:b/>
          <w:sz w:val="28"/>
          <w:szCs w:val="28"/>
        </w:rPr>
        <w:t xml:space="preserve"> Правительства Белгородской области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внесении изменений в постановление Правительства Белгородской области от 18 декабря 2023 года № 733-пп</w:t>
      </w:r>
      <w:r>
        <w:rPr>
          <w:b/>
          <w:sz w:val="28"/>
          <w:szCs w:val="28"/>
        </w:rPr>
        <w:t xml:space="preserve">»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2 статьи 179 Бюджетн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 xml:space="preserve">Ф</w:t>
      </w:r>
      <w:r>
        <w:rPr>
          <w:sz w:val="28"/>
          <w:szCs w:val="28"/>
        </w:rPr>
        <w:t xml:space="preserve">едерации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постановлени</w:t>
      </w:r>
      <w:r>
        <w:rPr>
          <w:sz w:val="28"/>
          <w:szCs w:val="28"/>
          <w:highlight w:val="white"/>
        </w:rPr>
        <w:t xml:space="preserve">ем</w:t>
      </w:r>
      <w:r>
        <w:rPr>
          <w:sz w:val="28"/>
          <w:szCs w:val="28"/>
          <w:highlight w:val="white"/>
        </w:rPr>
        <w:t xml:space="preserve"> Правительства Белгородской области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от 25 сентября 2023 года № 540-пп </w:t>
      </w:r>
      <w:r>
        <w:rPr>
          <w:sz w:val="28"/>
          <w:szCs w:val="28"/>
          <w:highlight w:val="white"/>
        </w:rPr>
        <w:t xml:space="preserve">«</w:t>
      </w:r>
      <w:r>
        <w:rPr>
          <w:sz w:val="28"/>
          <w:szCs w:val="28"/>
          <w:highlight w:val="white"/>
        </w:rPr>
        <w:t xml:space="preserve">Об утверждении Положения о системе управления государственными программами Белгородской </w:t>
      </w:r>
      <w:r>
        <w:rPr>
          <w:sz w:val="28"/>
          <w:szCs w:val="28"/>
        </w:rPr>
        <w:t xml:space="preserve">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связи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с п</w:t>
      </w:r>
      <w:r>
        <w:rPr>
          <w:sz w:val="28"/>
          <w:szCs w:val="28"/>
        </w:rPr>
        <w:t xml:space="preserve">ринятием</w:t>
      </w:r>
      <w:r>
        <w:rPr>
          <w:sz w:val="28"/>
          <w:szCs w:val="28"/>
        </w:rPr>
        <w:t xml:space="preserve"> законов Бе</w:t>
      </w:r>
      <w:r>
        <w:rPr>
          <w:sz w:val="28"/>
          <w:szCs w:val="28"/>
          <w:highlight w:val="white"/>
        </w:rPr>
        <w:t xml:space="preserve">лгородской области </w:t>
      </w:r>
      <w:r>
        <w:rPr>
          <w:sz w:val="28"/>
          <w:szCs w:val="28"/>
        </w:rPr>
        <w:t xml:space="preserve">от 24 декабря 2025 года № 20 </w:t>
        <w:br/>
      </w:r>
      <w:r>
        <w:rPr>
          <w:sz w:val="28"/>
          <w:szCs w:val="28"/>
        </w:rPr>
        <w:t xml:space="preserve"> «Об областном бюджете на 2026 год и на плановый период 2027 и 2028 годов»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 29 декабря 2025 года № 24 «О</w:t>
      </w:r>
      <w:r>
        <w:rPr>
          <w:sz w:val="28"/>
          <w:szCs w:val="28"/>
        </w:rPr>
        <w:t xml:space="preserve"> бюджете территориального фонда обязательного медицинского страхования Белгородской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2026 год </w:t>
        <w:br/>
        <w:t xml:space="preserve">и на плановый период 2027 и 2028 годов</w:t>
      </w:r>
      <w:r>
        <w:rPr>
          <w:sz w:val="28"/>
          <w:szCs w:val="28"/>
        </w:rPr>
        <w:t xml:space="preserve">», </w:t>
      </w:r>
      <w:r>
        <w:rPr>
          <w:sz w:val="28"/>
          <w:szCs w:val="28"/>
          <w:highlight w:val="none"/>
        </w:rPr>
        <w:t xml:space="preserve">предлагается внести изменения в</w:t>
      </w:r>
      <w:r>
        <w:rPr>
          <w:sz w:val="28"/>
          <w:szCs w:val="28"/>
          <w:highlight w:val="none"/>
        </w:rPr>
        <w:t xml:space="preserve"> государственн</w:t>
      </w:r>
      <w:r>
        <w:rPr>
          <w:sz w:val="28"/>
          <w:szCs w:val="28"/>
          <w:highlight w:val="none"/>
        </w:rPr>
        <w:t xml:space="preserve">ую</w:t>
      </w:r>
      <w:r>
        <w:rPr>
          <w:sz w:val="28"/>
          <w:szCs w:val="28"/>
          <w:highlight w:val="none"/>
        </w:rPr>
        <w:t xml:space="preserve"> программ</w:t>
      </w:r>
      <w:r>
        <w:rPr>
          <w:sz w:val="28"/>
          <w:szCs w:val="28"/>
          <w:highlight w:val="none"/>
        </w:rPr>
        <w:t xml:space="preserve">у</w:t>
      </w:r>
      <w:r>
        <w:rPr>
          <w:sz w:val="28"/>
          <w:szCs w:val="28"/>
          <w:highlight w:val="none"/>
        </w:rPr>
        <w:t xml:space="preserve"> Белгородской области </w:t>
      </w:r>
      <w:r>
        <w:rPr>
          <w:sz w:val="28"/>
          <w:szCs w:val="28"/>
          <w:highlight w:val="none"/>
        </w:rPr>
        <w:t xml:space="preserve">«</w:t>
      </w:r>
      <w:r>
        <w:rPr>
          <w:sz w:val="28"/>
          <w:szCs w:val="28"/>
          <w:highlight w:val="none"/>
        </w:rPr>
        <w:t xml:space="preserve">Развитие здравоохранения Белгородской области</w:t>
      </w:r>
      <w:r>
        <w:rPr>
          <w:sz w:val="28"/>
          <w:szCs w:val="28"/>
          <w:highlight w:val="none"/>
        </w:rPr>
        <w:t xml:space="preserve">»</w:t>
      </w:r>
      <w:r>
        <w:rPr>
          <w:sz w:val="28"/>
          <w:szCs w:val="28"/>
          <w:highlight w:val="none"/>
        </w:rPr>
        <w:t xml:space="preserve"> (далее</w:t>
      </w:r>
      <w:r>
        <w:rPr>
          <w:sz w:val="28"/>
          <w:szCs w:val="28"/>
          <w:highlight w:val="white"/>
        </w:rPr>
        <w:t xml:space="preserve"> – Программа), утверждённ</w:t>
      </w:r>
      <w:r>
        <w:rPr>
          <w:sz w:val="28"/>
          <w:szCs w:val="28"/>
          <w:highlight w:val="white"/>
        </w:rPr>
        <w:t xml:space="preserve">ую</w:t>
      </w:r>
      <w:r>
        <w:rPr>
          <w:sz w:val="28"/>
          <w:szCs w:val="28"/>
          <w:highlight w:val="white"/>
        </w:rPr>
        <w:t xml:space="preserve"> постановлением Правительства Белгородской области </w:t>
      </w:r>
      <w:r>
        <w:rPr>
          <w:sz w:val="28"/>
          <w:szCs w:val="28"/>
          <w:highlight w:val="white"/>
        </w:rPr>
        <w:t xml:space="preserve">от 18 декабря 2023 года № 733-пп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hd w:val="clear" w:color="auto" w:fill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white"/>
        </w:rPr>
        <w:t xml:space="preserve">В представленном проекте постановления объёмы финансовых затрат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из федерального и об</w:t>
      </w:r>
      <w:r>
        <w:rPr>
          <w:sz w:val="28"/>
          <w:szCs w:val="28"/>
          <w:highlight w:val="white"/>
        </w:rPr>
        <w:t xml:space="preserve">ластного бюджетов Белгородской области, бюджета территориального фонда обязательного медицинского страхования Белгородско</w:t>
      </w:r>
      <w:r>
        <w:rPr>
          <w:sz w:val="28"/>
          <w:szCs w:val="28"/>
          <w:highlight w:val="none"/>
        </w:rPr>
        <w:t xml:space="preserve">й области приведены в соответствие с параметрами вышеназванных проектов законов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hd w:val="clear" w:color="auto" w:fill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</w:t>
      </w:r>
      <w:r>
        <w:rPr>
          <w:sz w:val="28"/>
          <w:szCs w:val="28"/>
          <w:highlight w:val="none"/>
        </w:rPr>
        <w:t xml:space="preserve">риведен</w:t>
      </w:r>
      <w:r>
        <w:rPr>
          <w:sz w:val="28"/>
          <w:szCs w:val="28"/>
          <w:highlight w:val="none"/>
        </w:rPr>
        <w:t xml:space="preserve">ы </w:t>
      </w:r>
      <w:r>
        <w:rPr>
          <w:sz w:val="28"/>
          <w:szCs w:val="28"/>
          <w:highlight w:val="none"/>
        </w:rPr>
        <w:t xml:space="preserve">в соответствие с паспортами региональных </w:t>
      </w:r>
      <w:r>
        <w:rPr>
          <w:sz w:val="28"/>
          <w:szCs w:val="28"/>
          <w:highlight w:val="none"/>
        </w:rPr>
        <w:t xml:space="preserve">проектов, входящих в состав</w:t>
      </w:r>
      <w:r>
        <w:rPr>
          <w:sz w:val="28"/>
          <w:szCs w:val="28"/>
          <w:highlight w:val="none"/>
        </w:rPr>
        <w:t xml:space="preserve"> национальных проектов </w:t>
      </w:r>
      <w:r>
        <w:rPr>
          <w:sz w:val="28"/>
          <w:szCs w:val="28"/>
          <w:highlight w:val="none"/>
        </w:rPr>
        <w:t xml:space="preserve">«</w:t>
      </w:r>
      <w:r>
        <w:rPr>
          <w:sz w:val="28"/>
          <w:szCs w:val="28"/>
          <w:highlight w:val="none"/>
        </w:rPr>
        <w:t xml:space="preserve">Продолжительная и активная жизнь</w:t>
      </w:r>
      <w:r>
        <w:rPr>
          <w:sz w:val="28"/>
          <w:szCs w:val="28"/>
          <w:highlight w:val="none"/>
        </w:rPr>
        <w:t xml:space="preserve">»</w:t>
      </w:r>
      <w:r>
        <w:rPr>
          <w:sz w:val="28"/>
          <w:szCs w:val="28"/>
          <w:highlight w:val="none"/>
        </w:rPr>
        <w:t xml:space="preserve"> и </w:t>
      </w:r>
      <w:r>
        <w:rPr>
          <w:sz w:val="28"/>
          <w:szCs w:val="28"/>
          <w:highlight w:val="none"/>
        </w:rPr>
        <w:t xml:space="preserve">«Семья</w:t>
      </w:r>
      <w:r>
        <w:rPr>
          <w:sz w:val="28"/>
          <w:szCs w:val="28"/>
          <w:highlight w:val="none"/>
        </w:rPr>
        <w:t xml:space="preserve">»,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размещённых в ГИИС </w:t>
      </w:r>
      <w:r>
        <w:rPr>
          <w:sz w:val="28"/>
          <w:szCs w:val="28"/>
          <w:highlight w:val="none"/>
        </w:rPr>
        <w:t xml:space="preserve">«</w:t>
      </w:r>
      <w:r>
        <w:rPr>
          <w:sz w:val="28"/>
          <w:szCs w:val="28"/>
          <w:highlight w:val="none"/>
        </w:rPr>
        <w:t xml:space="preserve">Электронный бюджет</w:t>
      </w:r>
      <w:r>
        <w:rPr>
          <w:sz w:val="28"/>
          <w:szCs w:val="28"/>
          <w:highlight w:val="none"/>
        </w:rPr>
        <w:t xml:space="preserve">»</w:t>
      </w:r>
      <w:r>
        <w:rPr>
          <w:sz w:val="28"/>
          <w:szCs w:val="28"/>
          <w:highlight w:val="none"/>
        </w:rPr>
        <w:t xml:space="preserve">, ф</w:t>
      </w:r>
      <w:r>
        <w:rPr>
          <w:sz w:val="28"/>
          <w:szCs w:val="28"/>
          <w:highlight w:val="none"/>
        </w:rPr>
        <w:t xml:space="preserve">ормулировки различных составляющих отдельных мероприятий (результатов) на начало </w:t>
      </w:r>
      <w:r>
        <w:rPr>
          <w:sz w:val="28"/>
          <w:szCs w:val="28"/>
          <w:highlight w:val="none"/>
        </w:rPr>
        <w:t xml:space="preserve">2026 и на период до 2030 года </w:t>
      </w:r>
      <w:r>
        <w:rPr>
          <w:sz w:val="28"/>
          <w:szCs w:val="28"/>
          <w:highlight w:val="none"/>
        </w:rPr>
        <w:t xml:space="preserve">в части отрасли здравоохранения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Внесены изменения в состав мероприятий (результатов) отдельных комплексов процессных мероприятий Программы и планы их реализации в связи с переносом мероприятий (результатов) в состав региональных составляющих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федеральных проектов новых национальных проектов.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Формулировки и значения отдельных показателей</w:t>
      </w:r>
      <w:r>
        <w:rPr>
          <w:sz w:val="28"/>
          <w:szCs w:val="28"/>
        </w:rPr>
        <w:t xml:space="preserve">, мероприятий (результатов)</w:t>
      </w:r>
      <w:r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её структурных эле</w:t>
      </w:r>
      <w:r>
        <w:rPr>
          <w:sz w:val="28"/>
          <w:szCs w:val="28"/>
          <w:highlight w:val="none"/>
        </w:rPr>
        <w:t xml:space="preserve">ментов приведены в соответствие со значениями </w:t>
      </w:r>
      <w:r>
        <w:rPr>
          <w:sz w:val="28"/>
          <w:szCs w:val="28"/>
          <w:highlight w:val="none"/>
        </w:rPr>
        <w:t xml:space="preserve">и формулировками </w:t>
      </w:r>
      <w:r>
        <w:rPr>
          <w:sz w:val="28"/>
          <w:szCs w:val="28"/>
          <w:highlight w:val="none"/>
        </w:rPr>
        <w:t xml:space="preserve">показателей, </w:t>
      </w:r>
      <w:r>
        <w:rPr>
          <w:sz w:val="28"/>
          <w:szCs w:val="28"/>
          <w:highlight w:val="none"/>
        </w:rPr>
        <w:t xml:space="preserve">мероприятий (результатов</w:t>
      </w:r>
      <w:r>
        <w:rPr>
          <w:sz w:val="28"/>
          <w:szCs w:val="28"/>
          <w:highlight w:val="none"/>
        </w:rPr>
        <w:t xml:space="preserve">),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согласованными Минздравом России и декомпозированными с федерального </w:t>
      </w:r>
      <w:r>
        <w:rPr>
          <w:sz w:val="28"/>
          <w:szCs w:val="28"/>
        </w:rPr>
        <w:t xml:space="preserve">уровня мероприятиями (результатами) посредством ГИИС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Электронный бюджет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или отражёнными в заключенных соглашениях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Добавлены разделы </w:t>
      </w:r>
      <w:r>
        <w:rPr>
          <w:sz w:val="28"/>
          <w:szCs w:val="28"/>
          <w:highlight w:val="none"/>
        </w:rPr>
        <w:t xml:space="preserve">Программы по комплексному восстановлению </w:t>
        <w:br/>
        <w:t xml:space="preserve">и развитию пострадавших территорий Белгородской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Проект постановления направлен на проверку в прокуратуру Белгородской </w:t>
      </w:r>
      <w:r>
        <w:rPr>
          <w:sz w:val="28"/>
          <w:szCs w:val="28"/>
        </w:rPr>
        <w:t xml:space="preserve">области.</w:t>
      </w:r>
      <w:r>
        <w:rPr>
          <w:sz w:val="28"/>
          <w:szCs w:val="28"/>
        </w:rPr>
        <w:t xml:space="preserve"> Замечаний не поступило.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86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5947"/>
      </w:tblGrid>
      <w:tr>
        <w:tblPrEx/>
        <w:trPr/>
        <w:tc>
          <w:tcPr>
            <w:tcW w:w="3681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</w:t>
            </w:r>
            <w:r>
              <w:rPr>
                <w:b/>
                <w:sz w:val="28"/>
                <w:szCs w:val="28"/>
              </w:rPr>
              <w:t xml:space="preserve">инистр здравоохранения Белгородской области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947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А.А. Иконников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ind w:firstLine="709"/>
        <w:jc w:val="both"/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sectPr>
      <w:headerReference w:type="default" r:id="rId9"/>
      <w:footnotePr/>
      <w:endnotePr/>
      <w:type w:val="nextPage"/>
      <w:pgSz w:w="11906" w:h="16838" w:orient="portrait"/>
      <w:pgMar w:top="851" w:right="624" w:bottom="1134" w:left="1644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  <w:tabs>
          <w:tab w:val="num" w:pos="90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0" w:hanging="840"/>
        <w:tabs>
          <w:tab w:val="num" w:pos="13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8">
    <w:name w:val="Heading 1 Char"/>
    <w:basedOn w:val="850"/>
    <w:link w:val="847"/>
    <w:uiPriority w:val="9"/>
    <w:rPr>
      <w:rFonts w:ascii="Arial" w:hAnsi="Arial" w:eastAsia="Arial" w:cs="Arial"/>
      <w:sz w:val="40"/>
      <w:szCs w:val="40"/>
    </w:rPr>
  </w:style>
  <w:style w:type="character" w:styleId="679">
    <w:name w:val="Heading 2 Char"/>
    <w:basedOn w:val="850"/>
    <w:link w:val="848"/>
    <w:uiPriority w:val="9"/>
    <w:rPr>
      <w:rFonts w:ascii="Arial" w:hAnsi="Arial" w:eastAsia="Arial" w:cs="Arial"/>
      <w:sz w:val="34"/>
    </w:rPr>
  </w:style>
  <w:style w:type="character" w:styleId="680">
    <w:name w:val="Heading 3 Char"/>
    <w:basedOn w:val="850"/>
    <w:link w:val="849"/>
    <w:uiPriority w:val="9"/>
    <w:rPr>
      <w:rFonts w:ascii="Arial" w:hAnsi="Arial" w:eastAsia="Arial" w:cs="Arial"/>
      <w:sz w:val="30"/>
      <w:szCs w:val="30"/>
    </w:rPr>
  </w:style>
  <w:style w:type="paragraph" w:styleId="681">
    <w:name w:val="Heading 4"/>
    <w:basedOn w:val="846"/>
    <w:next w:val="846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>
    <w:name w:val="Heading 4 Char"/>
    <w:basedOn w:val="850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846"/>
    <w:next w:val="846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>
    <w:name w:val="Heading 5 Char"/>
    <w:basedOn w:val="850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846"/>
    <w:next w:val="846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>
    <w:name w:val="Heading 6 Char"/>
    <w:basedOn w:val="850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846"/>
    <w:next w:val="846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7 Char"/>
    <w:basedOn w:val="850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846"/>
    <w:next w:val="846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>
    <w:name w:val="Heading 8 Char"/>
    <w:basedOn w:val="850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>
    <w:name w:val="Heading 9"/>
    <w:basedOn w:val="846"/>
    <w:next w:val="846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>
    <w:name w:val="Heading 9 Char"/>
    <w:basedOn w:val="850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846"/>
    <w:uiPriority w:val="34"/>
    <w:qFormat/>
    <w:pPr>
      <w:contextualSpacing/>
      <w:ind w:left="720"/>
    </w:pPr>
  </w:style>
  <w:style w:type="paragraph" w:styleId="694">
    <w:name w:val="Title"/>
    <w:basedOn w:val="846"/>
    <w:next w:val="846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0"/>
    <w:link w:val="694"/>
    <w:uiPriority w:val="10"/>
    <w:rPr>
      <w:sz w:val="48"/>
      <w:szCs w:val="48"/>
    </w:rPr>
  </w:style>
  <w:style w:type="paragraph" w:styleId="696">
    <w:name w:val="Subtitle"/>
    <w:basedOn w:val="846"/>
    <w:next w:val="846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0"/>
    <w:link w:val="696"/>
    <w:uiPriority w:val="11"/>
    <w:rPr>
      <w:sz w:val="24"/>
      <w:szCs w:val="24"/>
    </w:rPr>
  </w:style>
  <w:style w:type="paragraph" w:styleId="698">
    <w:name w:val="Quote"/>
    <w:basedOn w:val="846"/>
    <w:next w:val="846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6"/>
    <w:next w:val="846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0"/>
    <w:link w:val="860"/>
    <w:uiPriority w:val="99"/>
  </w:style>
  <w:style w:type="character" w:styleId="703">
    <w:name w:val="Footer Char"/>
    <w:basedOn w:val="850"/>
    <w:link w:val="862"/>
    <w:uiPriority w:val="99"/>
  </w:style>
  <w:style w:type="paragraph" w:styleId="704">
    <w:name w:val="Caption"/>
    <w:basedOn w:val="846"/>
    <w:next w:val="846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850"/>
    <w:link w:val="704"/>
    <w:uiPriority w:val="35"/>
    <w:rPr>
      <w:b/>
      <w:bCs/>
      <w:color w:val="4f81bd" w:themeColor="accent1"/>
      <w:sz w:val="18"/>
      <w:szCs w:val="18"/>
    </w:rPr>
  </w:style>
  <w:style w:type="table" w:styleId="706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5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6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7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8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9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0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9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0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1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2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3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4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Footnote Text Char"/>
    <w:link w:val="866"/>
    <w:uiPriority w:val="99"/>
    <w:rPr>
      <w:sz w:val="18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50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  <w:rPr>
      <w:rFonts w:ascii="Times New Roman" w:hAnsi="Times New Roman"/>
      <w:sz w:val="24"/>
      <w:szCs w:val="24"/>
    </w:rPr>
  </w:style>
  <w:style w:type="paragraph" w:styleId="847">
    <w:name w:val="Heading 1"/>
    <w:basedOn w:val="846"/>
    <w:next w:val="846"/>
    <w:link w:val="871"/>
    <w:qFormat/>
    <w:pPr>
      <w:keepLines/>
      <w:keepNext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848">
    <w:name w:val="Heading 2"/>
    <w:basedOn w:val="846"/>
    <w:link w:val="855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849">
    <w:name w:val="Heading 3"/>
    <w:basedOn w:val="846"/>
    <w:next w:val="846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850" w:default="1">
    <w:name w:val="Default Paragraph Font"/>
    <w:uiPriority w:val="1"/>
    <w:semiHidden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paragraph" w:styleId="853">
    <w:name w:val="Normal (Web)"/>
    <w:basedOn w:val="846"/>
    <w:pPr>
      <w:spacing w:before="100" w:beforeAutospacing="1" w:after="100" w:afterAutospacing="1"/>
    </w:pPr>
  </w:style>
  <w:style w:type="character" w:styleId="854">
    <w:name w:val="Hyperlink"/>
    <w:semiHidden/>
    <w:rPr>
      <w:rFonts w:cs="Times New Roman"/>
      <w:color w:val="0000ff"/>
      <w:u w:val="single"/>
    </w:rPr>
  </w:style>
  <w:style w:type="character" w:styleId="855" w:customStyle="1">
    <w:name w:val="Заголовок 2 Знак"/>
    <w:link w:val="84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856" w:customStyle="1">
    <w:name w:val="formattext topleveltext"/>
    <w:basedOn w:val="846"/>
    <w:pPr>
      <w:spacing w:before="100" w:beforeAutospacing="1" w:after="100" w:afterAutospacing="1"/>
    </w:pPr>
    <w:rPr>
      <w:rFonts w:eastAsia="Times New Roman"/>
    </w:rPr>
  </w:style>
  <w:style w:type="paragraph" w:styleId="857" w:customStyle="1">
    <w:name w:val="formattext topleveltext centertext"/>
    <w:basedOn w:val="846"/>
    <w:pPr>
      <w:spacing w:before="100" w:beforeAutospacing="1" w:after="100" w:afterAutospacing="1"/>
    </w:pPr>
    <w:rPr>
      <w:rFonts w:eastAsia="Times New Roman"/>
    </w:rPr>
  </w:style>
  <w:style w:type="paragraph" w:styleId="858" w:customStyle="1">
    <w:name w:val="StGen0"/>
    <w:basedOn w:val="846"/>
    <w:pPr>
      <w:spacing w:after="160" w:line="240" w:lineRule="exact"/>
    </w:pPr>
    <w:rPr>
      <w:rFonts w:ascii="Verdana" w:hAnsi="Verdana" w:eastAsia="Times New Roman"/>
      <w:sz w:val="20"/>
      <w:szCs w:val="20"/>
      <w:lang w:val="en-US" w:eastAsia="en-US"/>
    </w:rPr>
  </w:style>
  <w:style w:type="paragraph" w:styleId="859">
    <w:name w:val="No Spacing"/>
    <w:uiPriority w:val="1"/>
    <w:qFormat/>
    <w:pPr>
      <w:widowControl w:val="off"/>
    </w:pPr>
    <w:rPr>
      <w:rFonts w:ascii="Times New Roman" w:hAnsi="Times New Roman" w:eastAsia="Times New Roman"/>
    </w:rPr>
  </w:style>
  <w:style w:type="paragraph" w:styleId="860">
    <w:name w:val="Header"/>
    <w:basedOn w:val="846"/>
    <w:link w:val="861"/>
    <w:uiPriority w:val="99"/>
    <w:pPr>
      <w:tabs>
        <w:tab w:val="center" w:pos="4677" w:leader="none"/>
        <w:tab w:val="right" w:pos="9355" w:leader="none"/>
      </w:tabs>
    </w:pPr>
  </w:style>
  <w:style w:type="character" w:styleId="861" w:customStyle="1">
    <w:name w:val="Верхний колонтитул Знак"/>
    <w:link w:val="860"/>
    <w:uiPriority w:val="99"/>
    <w:rPr>
      <w:rFonts w:ascii="Times New Roman" w:hAnsi="Times New Roman"/>
      <w:sz w:val="24"/>
      <w:szCs w:val="24"/>
    </w:rPr>
  </w:style>
  <w:style w:type="paragraph" w:styleId="862">
    <w:name w:val="Footer"/>
    <w:basedOn w:val="846"/>
    <w:link w:val="863"/>
    <w:pPr>
      <w:tabs>
        <w:tab w:val="center" w:pos="4677" w:leader="none"/>
        <w:tab w:val="right" w:pos="9355" w:leader="none"/>
      </w:tabs>
    </w:pPr>
  </w:style>
  <w:style w:type="character" w:styleId="863" w:customStyle="1">
    <w:name w:val="Нижний колонтитул Знак"/>
    <w:link w:val="862"/>
    <w:rPr>
      <w:rFonts w:ascii="Times New Roman" w:hAnsi="Times New Roman"/>
      <w:sz w:val="24"/>
      <w:szCs w:val="24"/>
    </w:rPr>
  </w:style>
  <w:style w:type="paragraph" w:styleId="864">
    <w:name w:val="Balloon Text"/>
    <w:basedOn w:val="846"/>
    <w:link w:val="865"/>
    <w:rPr>
      <w:rFonts w:ascii="Tahoma" w:hAnsi="Tahoma"/>
      <w:sz w:val="16"/>
      <w:szCs w:val="16"/>
    </w:rPr>
  </w:style>
  <w:style w:type="character" w:styleId="865" w:customStyle="1">
    <w:name w:val="Текст выноски Знак"/>
    <w:link w:val="864"/>
    <w:rPr>
      <w:rFonts w:ascii="Tahoma" w:hAnsi="Tahoma" w:cs="Tahoma"/>
      <w:sz w:val="16"/>
      <w:szCs w:val="16"/>
    </w:rPr>
  </w:style>
  <w:style w:type="paragraph" w:styleId="866">
    <w:name w:val="footnote text"/>
    <w:basedOn w:val="846"/>
    <w:link w:val="867"/>
    <w:rPr>
      <w:sz w:val="20"/>
      <w:szCs w:val="20"/>
    </w:rPr>
  </w:style>
  <w:style w:type="character" w:styleId="867" w:customStyle="1">
    <w:name w:val="Текст сноски Знак"/>
    <w:link w:val="866"/>
    <w:rPr>
      <w:rFonts w:ascii="Times New Roman" w:hAnsi="Times New Roman"/>
    </w:rPr>
  </w:style>
  <w:style w:type="character" w:styleId="868">
    <w:name w:val="footnote reference"/>
    <w:rPr>
      <w:vertAlign w:val="superscript"/>
    </w:rPr>
  </w:style>
  <w:style w:type="table" w:styleId="869">
    <w:name w:val="Table Grid"/>
    <w:basedOn w:val="851"/>
    <w:uiPriority w:val="39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0" w:customStyle="1">
    <w:name w:val="Standard"/>
    <w:uiPriority w:val="99"/>
    <w:rPr>
      <w:rFonts w:ascii="Times New Roman" w:hAnsi="Times New Roman"/>
      <w:sz w:val="24"/>
      <w:szCs w:val="24"/>
    </w:rPr>
  </w:style>
  <w:style w:type="character" w:styleId="871" w:customStyle="1">
    <w:name w:val="Заголовок 1 Знак"/>
    <w:basedOn w:val="850"/>
    <w:link w:val="847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872" w:customStyle="1">
    <w:name w:val="Style5"/>
    <w:basedOn w:val="863"/>
    <w:pPr>
      <w:contextualSpacing w:val="0"/>
      <w:ind w:left="0" w:right="0" w:hanging="346"/>
      <w:jc w:val="left"/>
      <w:keepLines w:val="0"/>
      <w:keepNext w:val="0"/>
      <w:pageBreakBefore w:val="0"/>
      <w:spacing w:before="0" w:beforeAutospacing="0" w:after="0" w:afterAutospacing="0" w:line="317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92F3-4EDF-41A6-964C-16282845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DERBO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subject/>
  <dc:creator>Бугаева Лилия Николаевна</dc:creator>
  <cp:keywords/>
  <cp:lastModifiedBy>morozova_mi</cp:lastModifiedBy>
  <cp:revision>16</cp:revision>
  <dcterms:created xsi:type="dcterms:W3CDTF">2025-04-16T12:54:00Z</dcterms:created>
  <dcterms:modified xsi:type="dcterms:W3CDTF">2026-04-20T14:25:46Z</dcterms:modified>
</cp:coreProperties>
</file>